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89" w:rsidRPr="00DA311C" w:rsidRDefault="002D2289" w:rsidP="002D2289">
      <w:pPr>
        <w:pStyle w:val="a3"/>
        <w:widowControl w:val="0"/>
        <w:rPr>
          <w:b/>
          <w:spacing w:val="-6"/>
          <w:sz w:val="24"/>
        </w:rPr>
      </w:pPr>
      <w:r w:rsidRPr="00DA311C">
        <w:rPr>
          <w:b/>
          <w:spacing w:val="-6"/>
          <w:sz w:val="24"/>
        </w:rPr>
        <w:t>Основні показники економічного і соціального розвитку Сумської міської  об’єднаної територіальної громади за 2017-2018 (звіт), 2019 (очікувані),          2020 (проєкт) та прогнозні на 2021-2022 роки</w:t>
      </w:r>
    </w:p>
    <w:tbl>
      <w:tblPr>
        <w:tblW w:w="49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304"/>
        <w:gridCol w:w="1106"/>
        <w:gridCol w:w="1251"/>
        <w:gridCol w:w="1251"/>
        <w:gridCol w:w="1361"/>
        <w:gridCol w:w="1029"/>
        <w:gridCol w:w="1084"/>
        <w:gridCol w:w="1084"/>
      </w:tblGrid>
      <w:tr w:rsidR="002D2289" w:rsidRPr="00DA311C" w:rsidTr="001021CE">
        <w:trPr>
          <w:trHeight w:val="580"/>
          <w:tblHeader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jc w:val="center"/>
              <w:rPr>
                <w:b/>
                <w:bCs/>
              </w:rPr>
            </w:pPr>
            <w:r w:rsidRPr="00DA311C">
              <w:rPr>
                <w:b/>
                <w:bCs/>
              </w:rPr>
              <w:t>Показник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b/>
                <w:bCs/>
              </w:rPr>
            </w:pPr>
            <w:r w:rsidRPr="00DA311C">
              <w:rPr>
                <w:b/>
                <w:bCs/>
              </w:rPr>
              <w:t>Одиниця виміру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center"/>
              <w:rPr>
                <w:b/>
                <w:bCs/>
              </w:rPr>
            </w:pPr>
            <w:r w:rsidRPr="00DA311C">
              <w:rPr>
                <w:b/>
                <w:bCs/>
              </w:rPr>
              <w:t xml:space="preserve">2017 рік </w:t>
            </w:r>
          </w:p>
          <w:p w:rsidR="002D2289" w:rsidRPr="00DA311C" w:rsidRDefault="002D2289" w:rsidP="001021CE">
            <w:pPr>
              <w:jc w:val="center"/>
              <w:rPr>
                <w:bCs/>
              </w:rPr>
            </w:pPr>
            <w:r w:rsidRPr="00DA311C">
              <w:rPr>
                <w:bCs/>
              </w:rPr>
              <w:t>(звіт)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center"/>
              <w:rPr>
                <w:b/>
                <w:bCs/>
              </w:rPr>
            </w:pPr>
            <w:r w:rsidRPr="00DA311C">
              <w:rPr>
                <w:b/>
                <w:bCs/>
              </w:rPr>
              <w:t xml:space="preserve">2018 рік </w:t>
            </w:r>
          </w:p>
          <w:p w:rsidR="002D2289" w:rsidRPr="00DA311C" w:rsidRDefault="002D2289" w:rsidP="001021CE">
            <w:pPr>
              <w:jc w:val="center"/>
              <w:rPr>
                <w:bCs/>
              </w:rPr>
            </w:pPr>
            <w:r w:rsidRPr="00DA311C">
              <w:rPr>
                <w:bCs/>
              </w:rPr>
              <w:t>(звіт)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center"/>
              <w:rPr>
                <w:b/>
                <w:bCs/>
              </w:rPr>
            </w:pPr>
            <w:r w:rsidRPr="00DA311C">
              <w:rPr>
                <w:b/>
                <w:bCs/>
              </w:rPr>
              <w:t xml:space="preserve">2019 рік </w:t>
            </w:r>
          </w:p>
          <w:p w:rsidR="002D2289" w:rsidRPr="00DA311C" w:rsidRDefault="002D2289" w:rsidP="001021CE">
            <w:pPr>
              <w:jc w:val="center"/>
              <w:rPr>
                <w:bCs/>
              </w:rPr>
            </w:pPr>
            <w:r w:rsidRPr="00DA311C">
              <w:rPr>
                <w:bCs/>
              </w:rPr>
              <w:t>(</w:t>
            </w:r>
            <w:proofErr w:type="spellStart"/>
            <w:r w:rsidRPr="00DA311C">
              <w:rPr>
                <w:bCs/>
              </w:rPr>
              <w:t>очік</w:t>
            </w:r>
            <w:proofErr w:type="spellEnd"/>
            <w:r w:rsidRPr="00DA311C">
              <w:rPr>
                <w:bCs/>
              </w:rPr>
              <w:t>.)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center"/>
              <w:rPr>
                <w:b/>
                <w:bCs/>
              </w:rPr>
            </w:pPr>
            <w:r w:rsidRPr="00DA311C">
              <w:rPr>
                <w:b/>
                <w:bCs/>
              </w:rPr>
              <w:t>2020 рік</w:t>
            </w:r>
          </w:p>
          <w:p w:rsidR="002D2289" w:rsidRPr="00DA311C" w:rsidRDefault="002D2289" w:rsidP="001021CE">
            <w:pPr>
              <w:jc w:val="center"/>
              <w:rPr>
                <w:bCs/>
              </w:rPr>
            </w:pPr>
            <w:r w:rsidRPr="00DA311C">
              <w:rPr>
                <w:bCs/>
              </w:rPr>
              <w:t>(проєкт)</w:t>
            </w:r>
          </w:p>
        </w:tc>
        <w:tc>
          <w:tcPr>
            <w:tcW w:w="373" w:type="pct"/>
          </w:tcPr>
          <w:p w:rsidR="002D2289" w:rsidRPr="00DA311C" w:rsidRDefault="002D2289" w:rsidP="001021CE">
            <w:pPr>
              <w:jc w:val="center"/>
              <w:rPr>
                <w:b/>
                <w:bCs/>
              </w:rPr>
            </w:pPr>
            <w:r w:rsidRPr="00DA311C">
              <w:rPr>
                <w:b/>
                <w:bCs/>
              </w:rPr>
              <w:t>2021 рік</w:t>
            </w:r>
          </w:p>
          <w:p w:rsidR="002D2289" w:rsidRPr="00DA311C" w:rsidRDefault="002D2289" w:rsidP="001021CE">
            <w:pPr>
              <w:jc w:val="center"/>
              <w:rPr>
                <w:bCs/>
              </w:rPr>
            </w:pPr>
            <w:r w:rsidRPr="00DA311C">
              <w:rPr>
                <w:bCs/>
              </w:rPr>
              <w:t>(прогноз)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center"/>
              <w:rPr>
                <w:b/>
                <w:bCs/>
              </w:rPr>
            </w:pPr>
            <w:r w:rsidRPr="00DA311C">
              <w:rPr>
                <w:b/>
                <w:bCs/>
              </w:rPr>
              <w:t>2022 рік</w:t>
            </w:r>
          </w:p>
          <w:p w:rsidR="002D2289" w:rsidRPr="00DA311C" w:rsidRDefault="002D2289" w:rsidP="001021CE">
            <w:pPr>
              <w:jc w:val="center"/>
              <w:rPr>
                <w:bCs/>
              </w:rPr>
            </w:pPr>
            <w:r w:rsidRPr="00DA311C">
              <w:rPr>
                <w:bCs/>
              </w:rPr>
              <w:t>(прогноз)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b/>
              </w:rPr>
            </w:pPr>
            <w:r w:rsidRPr="00DA311C">
              <w:rPr>
                <w:b/>
              </w:rPr>
              <w:t xml:space="preserve">Обсяг реалізованої промислової продукції (товарів, послуг) 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b/>
              </w:rPr>
            </w:pPr>
            <w:r w:rsidRPr="00DA311C">
              <w:rPr>
                <w:b/>
              </w:rPr>
              <w:t>млрд. грн.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19,8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22,1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24,2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26,2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28,3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30,0</w:t>
            </w:r>
          </w:p>
        </w:tc>
      </w:tr>
      <w:tr w:rsidR="002D2289" w:rsidRPr="00DA311C" w:rsidTr="001021CE">
        <w:trPr>
          <w:trHeight w:val="196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i/>
              </w:rPr>
            </w:pPr>
            <w:r w:rsidRPr="00DA311C">
              <w:rPr>
                <w:i/>
              </w:rPr>
              <w:t>(у % до попереднього року)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i/>
              </w:rPr>
            </w:pPr>
            <w:r w:rsidRPr="00DA311C">
              <w:rPr>
                <w:i/>
              </w:rPr>
              <w:t>%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114,0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111,6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109,5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108,3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108,0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106,0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b/>
              </w:rPr>
            </w:pPr>
            <w:r w:rsidRPr="00DA311C">
              <w:rPr>
                <w:b/>
              </w:rPr>
              <w:t>Будівництво, інвестиційна діяльність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</w:pP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b/>
                <w:i/>
              </w:rPr>
            </w:pPr>
            <w:r w:rsidRPr="00DA311C">
              <w:rPr>
                <w:b/>
                <w:i/>
              </w:rPr>
              <w:t>Обсяг виконаних будівельних робіт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b/>
                <w:i/>
              </w:rPr>
            </w:pPr>
            <w:r w:rsidRPr="00DA311C">
              <w:rPr>
                <w:b/>
                <w:i/>
              </w:rPr>
              <w:t>млн. грн.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956,8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1196,0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1300,0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1400,0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1525,0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1650,0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i/>
              </w:rPr>
            </w:pPr>
            <w:r w:rsidRPr="00DA311C">
              <w:rPr>
                <w:i/>
              </w:rPr>
              <w:t>(у% до попереднього року)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i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128,6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125,0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108,7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107,7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108,9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108,2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b/>
              </w:rPr>
            </w:pPr>
            <w:r w:rsidRPr="00DA311C">
              <w:rPr>
                <w:b/>
              </w:rPr>
              <w:t>Введення в експлуатацію житла загальної площі (нове будівництво)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b/>
              </w:rPr>
            </w:pPr>
            <w:r w:rsidRPr="00DA311C">
              <w:rPr>
                <w:b/>
              </w:rPr>
              <w:t xml:space="preserve">тис. </w:t>
            </w:r>
            <w:proofErr w:type="spellStart"/>
            <w:r w:rsidRPr="00DA311C">
              <w:rPr>
                <w:b/>
              </w:rPr>
              <w:t>кв.м</w:t>
            </w:r>
            <w:proofErr w:type="spellEnd"/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66,8</w:t>
            </w:r>
          </w:p>
          <w:p w:rsidR="002D2289" w:rsidRPr="00DA311C" w:rsidRDefault="002D2289" w:rsidP="001021CE">
            <w:pPr>
              <w:jc w:val="right"/>
            </w:pPr>
            <w:r w:rsidRPr="00DA311C">
              <w:rPr>
                <w:sz w:val="20"/>
                <w:szCs w:val="20"/>
              </w:rPr>
              <w:t>(60,7 – нове будівництво</w:t>
            </w:r>
            <w:r w:rsidRPr="00DA311C">
              <w:t>)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65,0</w:t>
            </w:r>
          </w:p>
          <w:p w:rsidR="002D2289" w:rsidRPr="00DA311C" w:rsidRDefault="002D2289" w:rsidP="001021CE">
            <w:pPr>
              <w:jc w:val="right"/>
            </w:pPr>
            <w:r w:rsidRPr="00DA311C">
              <w:rPr>
                <w:sz w:val="20"/>
                <w:szCs w:val="20"/>
              </w:rPr>
              <w:t>(нове будівництво</w:t>
            </w:r>
            <w:r w:rsidRPr="00DA311C">
              <w:t>)</w:t>
            </w:r>
          </w:p>
        </w:tc>
        <w:tc>
          <w:tcPr>
            <w:tcW w:w="487" w:type="pct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68,0</w:t>
            </w:r>
          </w:p>
        </w:tc>
        <w:tc>
          <w:tcPr>
            <w:tcW w:w="372" w:type="pct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68,0</w:t>
            </w:r>
          </w:p>
        </w:tc>
        <w:tc>
          <w:tcPr>
            <w:tcW w:w="373" w:type="pct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68,0</w:t>
            </w:r>
          </w:p>
        </w:tc>
        <w:tc>
          <w:tcPr>
            <w:tcW w:w="371" w:type="pct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68,0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i/>
              </w:rPr>
            </w:pPr>
            <w:r w:rsidRPr="00DA311C">
              <w:rPr>
                <w:i/>
              </w:rPr>
              <w:t>(у % до попереднього року)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i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100,9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97,3/107,1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104,6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100,0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rPr>
                <w:i/>
              </w:rPr>
              <w:t>100,0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rPr>
                <w:i/>
              </w:rPr>
              <w:t>100,0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b/>
                <w:i/>
              </w:rPr>
            </w:pPr>
            <w:r w:rsidRPr="00DA311C">
              <w:rPr>
                <w:b/>
              </w:rPr>
              <w:t xml:space="preserve">Обсяг прямих інвестицій (на 01.01) 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</w:pPr>
            <w:r w:rsidRPr="00DA311C">
              <w:rPr>
                <w:b/>
              </w:rPr>
              <w:t xml:space="preserve">млн. </w:t>
            </w:r>
            <w:proofErr w:type="spellStart"/>
            <w:r w:rsidRPr="00DA311C">
              <w:rPr>
                <w:b/>
              </w:rPr>
              <w:t>дол</w:t>
            </w:r>
            <w:proofErr w:type="spellEnd"/>
            <w:r w:rsidRPr="00DA311C">
              <w:rPr>
                <w:b/>
              </w:rPr>
              <w:t>.</w:t>
            </w:r>
            <w:r w:rsidRPr="00DA311C">
              <w:t xml:space="preserve"> </w:t>
            </w:r>
            <w:r w:rsidRPr="00DA311C">
              <w:rPr>
                <w:sz w:val="20"/>
                <w:szCs w:val="20"/>
              </w:rPr>
              <w:t>США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rPr>
                <w:b/>
              </w:rPr>
              <w:t>98,0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rPr>
                <w:b/>
              </w:rPr>
              <w:t>98,2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101,0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104,0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105,0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106,0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i/>
              </w:rPr>
            </w:pPr>
            <w:r w:rsidRPr="00DA311C">
              <w:rPr>
                <w:i/>
              </w:rPr>
              <w:t>(у % до попереднього року)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i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94,8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100,2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102,9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103,0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101,0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101,0</w:t>
            </w:r>
          </w:p>
        </w:tc>
      </w:tr>
      <w:tr w:rsidR="002D2289" w:rsidRPr="00DA311C" w:rsidTr="001021CE">
        <w:trPr>
          <w:trHeight w:val="313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b/>
              </w:rPr>
            </w:pPr>
            <w:r w:rsidRPr="00DA311C">
              <w:rPr>
                <w:b/>
              </w:rPr>
              <w:t>Обсяг капітальних інвестицій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b/>
              </w:rPr>
            </w:pPr>
            <w:r w:rsidRPr="00DA311C">
              <w:rPr>
                <w:b/>
              </w:rPr>
              <w:t>млн. грн.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rPr>
                <w:b/>
              </w:rPr>
              <w:t>2640,</w:t>
            </w:r>
            <w:r w:rsidRPr="00DA311C">
              <w:t>8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3231,7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3560,0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3900,0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4250,0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4600,0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i/>
              </w:rPr>
            </w:pPr>
            <w:r w:rsidRPr="00DA311C">
              <w:rPr>
                <w:i/>
              </w:rPr>
              <w:t>(у % до попереднього року)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i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128,5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tabs>
                <w:tab w:val="center" w:pos="4819"/>
                <w:tab w:val="right" w:pos="9639"/>
              </w:tabs>
              <w:jc w:val="right"/>
              <w:rPr>
                <w:i/>
              </w:rPr>
            </w:pPr>
            <w:r w:rsidRPr="00DA311C">
              <w:rPr>
                <w:i/>
              </w:rPr>
              <w:t>122,4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110,2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109,6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109,0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108,2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b/>
              </w:rPr>
            </w:pPr>
            <w:r w:rsidRPr="00DA311C">
              <w:rPr>
                <w:b/>
              </w:rPr>
              <w:t>Експорт товарів та послуг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</w:pPr>
            <w:r w:rsidRPr="00DA311C">
              <w:rPr>
                <w:b/>
              </w:rPr>
              <w:t xml:space="preserve">млн. </w:t>
            </w:r>
            <w:proofErr w:type="spellStart"/>
            <w:r w:rsidRPr="00DA311C">
              <w:rPr>
                <w:b/>
              </w:rPr>
              <w:t>дол</w:t>
            </w:r>
            <w:proofErr w:type="spellEnd"/>
            <w:r w:rsidRPr="00DA311C">
              <w:rPr>
                <w:b/>
              </w:rPr>
              <w:t>.</w:t>
            </w:r>
            <w:r w:rsidRPr="00DA311C">
              <w:t xml:space="preserve"> </w:t>
            </w:r>
            <w:r w:rsidRPr="00DA311C">
              <w:rPr>
                <w:sz w:val="20"/>
                <w:szCs w:val="20"/>
              </w:rPr>
              <w:t>США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337,9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336,5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340,0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345,0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350,0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355,0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i/>
              </w:rPr>
            </w:pPr>
            <w:r w:rsidRPr="00DA311C">
              <w:rPr>
                <w:i/>
              </w:rPr>
              <w:t>(у % до попереднього року)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i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110,7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99,6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101,0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101,5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101,4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101,4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b/>
                <w:i/>
              </w:rPr>
            </w:pPr>
            <w:r w:rsidRPr="00DA311C">
              <w:rPr>
                <w:b/>
                <w:i/>
              </w:rPr>
              <w:t xml:space="preserve">в </w:t>
            </w:r>
            <w:proofErr w:type="spellStart"/>
            <w:r w:rsidRPr="00DA311C">
              <w:rPr>
                <w:b/>
                <w:i/>
              </w:rPr>
              <w:t>т.ч</w:t>
            </w:r>
            <w:proofErr w:type="spellEnd"/>
            <w:r w:rsidRPr="00DA311C">
              <w:rPr>
                <w:b/>
                <w:i/>
              </w:rPr>
              <w:t xml:space="preserve">. експорт товарів 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i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304,3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315,9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320,0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323,0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327,0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331,0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b/>
                <w:i/>
              </w:rPr>
            </w:pPr>
            <w:r w:rsidRPr="00DA311C">
              <w:rPr>
                <w:b/>
                <w:i/>
              </w:rPr>
              <w:t xml:space="preserve">в </w:t>
            </w:r>
            <w:proofErr w:type="spellStart"/>
            <w:r w:rsidRPr="00DA311C">
              <w:rPr>
                <w:b/>
                <w:i/>
              </w:rPr>
              <w:t>т.ч</w:t>
            </w:r>
            <w:proofErr w:type="spellEnd"/>
            <w:r w:rsidRPr="00DA311C">
              <w:rPr>
                <w:b/>
                <w:i/>
              </w:rPr>
              <w:t>. експорт послуг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i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33,6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20,6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20,0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22,0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23,0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24,0</w:t>
            </w:r>
          </w:p>
        </w:tc>
      </w:tr>
      <w:tr w:rsidR="002D2289" w:rsidRPr="00DA311C" w:rsidTr="001021CE">
        <w:trPr>
          <w:trHeight w:val="276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b/>
              </w:rPr>
            </w:pPr>
            <w:r w:rsidRPr="00DA311C">
              <w:rPr>
                <w:b/>
              </w:rPr>
              <w:t>Імпорт товарів та послуг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</w:pPr>
            <w:r w:rsidRPr="00DA311C">
              <w:rPr>
                <w:b/>
              </w:rPr>
              <w:t xml:space="preserve">млн. </w:t>
            </w:r>
            <w:proofErr w:type="spellStart"/>
            <w:r w:rsidRPr="00DA311C">
              <w:rPr>
                <w:b/>
              </w:rPr>
              <w:t>дол</w:t>
            </w:r>
            <w:proofErr w:type="spellEnd"/>
            <w:r w:rsidRPr="00DA311C">
              <w:rPr>
                <w:b/>
              </w:rPr>
              <w:t>.</w:t>
            </w:r>
            <w:r w:rsidRPr="00DA311C">
              <w:t xml:space="preserve"> </w:t>
            </w:r>
            <w:r w:rsidRPr="00DA311C">
              <w:rPr>
                <w:sz w:val="20"/>
                <w:szCs w:val="20"/>
              </w:rPr>
              <w:t>США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343,2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bCs/>
              </w:rPr>
            </w:pPr>
            <w:r w:rsidRPr="00DA311C">
              <w:rPr>
                <w:b/>
                <w:bCs/>
              </w:rPr>
              <w:t>448,9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bCs/>
              </w:rPr>
            </w:pPr>
            <w:r w:rsidRPr="00DA311C">
              <w:rPr>
                <w:b/>
                <w:bCs/>
              </w:rPr>
              <w:t>450,0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bCs/>
              </w:rPr>
            </w:pPr>
            <w:r w:rsidRPr="00DA311C">
              <w:rPr>
                <w:b/>
                <w:bCs/>
              </w:rPr>
              <w:t>460,0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bCs/>
              </w:rPr>
            </w:pPr>
            <w:r w:rsidRPr="00DA311C">
              <w:rPr>
                <w:b/>
                <w:bCs/>
              </w:rPr>
              <w:t>470,0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  <w:r w:rsidRPr="00DA311C">
              <w:rPr>
                <w:b/>
              </w:rPr>
              <w:t>480,0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i/>
              </w:rPr>
            </w:pPr>
            <w:r w:rsidRPr="00DA311C">
              <w:rPr>
                <w:i/>
              </w:rPr>
              <w:t>(у % до попереднього року)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i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130,2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Cs/>
                <w:i/>
              </w:rPr>
            </w:pPr>
            <w:r w:rsidRPr="00DA311C">
              <w:rPr>
                <w:bCs/>
                <w:i/>
              </w:rPr>
              <w:t>130,8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bCs/>
                <w:i/>
              </w:rPr>
            </w:pPr>
            <w:r w:rsidRPr="00DA311C">
              <w:rPr>
                <w:bCs/>
                <w:i/>
              </w:rPr>
              <w:t>100,2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bCs/>
                <w:i/>
              </w:rPr>
            </w:pPr>
            <w:r w:rsidRPr="00DA311C">
              <w:rPr>
                <w:bCs/>
                <w:i/>
              </w:rPr>
              <w:t>102,2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bCs/>
                <w:i/>
              </w:rPr>
            </w:pPr>
            <w:r w:rsidRPr="00DA311C">
              <w:rPr>
                <w:bCs/>
                <w:i/>
              </w:rPr>
              <w:t>102,2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102,1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i/>
              </w:rPr>
            </w:pPr>
            <w:r w:rsidRPr="00DA311C">
              <w:rPr>
                <w:b/>
                <w:i/>
              </w:rPr>
              <w:t xml:space="preserve">в </w:t>
            </w:r>
            <w:proofErr w:type="spellStart"/>
            <w:r w:rsidRPr="00DA311C">
              <w:rPr>
                <w:b/>
                <w:i/>
              </w:rPr>
              <w:t>т.ч</w:t>
            </w:r>
            <w:proofErr w:type="spellEnd"/>
            <w:r w:rsidRPr="00DA311C">
              <w:rPr>
                <w:b/>
                <w:i/>
              </w:rPr>
              <w:t>. імпорт товарів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i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335,0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bCs/>
                <w:i/>
              </w:rPr>
            </w:pPr>
            <w:r w:rsidRPr="00DA311C">
              <w:rPr>
                <w:b/>
                <w:bCs/>
                <w:i/>
              </w:rPr>
              <w:t>439,1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bCs/>
                <w:i/>
              </w:rPr>
            </w:pPr>
            <w:r w:rsidRPr="00DA311C">
              <w:rPr>
                <w:b/>
                <w:bCs/>
                <w:i/>
              </w:rPr>
              <w:t>438,5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bCs/>
                <w:i/>
              </w:rPr>
            </w:pPr>
            <w:r w:rsidRPr="00DA311C">
              <w:rPr>
                <w:b/>
                <w:bCs/>
                <w:i/>
              </w:rPr>
              <w:t>446,5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bCs/>
                <w:i/>
              </w:rPr>
            </w:pPr>
            <w:r w:rsidRPr="00DA311C">
              <w:rPr>
                <w:b/>
                <w:bCs/>
                <w:i/>
              </w:rPr>
              <w:t>454,5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461,5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b/>
                <w:i/>
              </w:rPr>
            </w:pPr>
            <w:r w:rsidRPr="00DA311C">
              <w:rPr>
                <w:b/>
                <w:i/>
              </w:rPr>
              <w:t xml:space="preserve">в </w:t>
            </w:r>
            <w:proofErr w:type="spellStart"/>
            <w:r w:rsidRPr="00DA311C">
              <w:rPr>
                <w:b/>
                <w:i/>
              </w:rPr>
              <w:t>т.ч</w:t>
            </w:r>
            <w:proofErr w:type="spellEnd"/>
            <w:r w:rsidRPr="00DA311C">
              <w:rPr>
                <w:b/>
                <w:i/>
              </w:rPr>
              <w:t>. імпорт послуг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i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8,2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bCs/>
                <w:i/>
              </w:rPr>
            </w:pPr>
            <w:r w:rsidRPr="00DA311C">
              <w:rPr>
                <w:b/>
                <w:bCs/>
                <w:i/>
              </w:rPr>
              <w:t>9,8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bCs/>
                <w:i/>
              </w:rPr>
            </w:pPr>
            <w:r w:rsidRPr="00DA311C">
              <w:rPr>
                <w:b/>
                <w:bCs/>
                <w:i/>
              </w:rPr>
              <w:t>11,5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bCs/>
                <w:i/>
              </w:rPr>
            </w:pPr>
            <w:r w:rsidRPr="00DA311C">
              <w:rPr>
                <w:b/>
                <w:bCs/>
                <w:i/>
              </w:rPr>
              <w:t>13,5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bCs/>
                <w:i/>
              </w:rPr>
            </w:pPr>
            <w:r w:rsidRPr="00DA311C">
              <w:rPr>
                <w:b/>
                <w:bCs/>
                <w:i/>
              </w:rPr>
              <w:t>15,5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  <w:i/>
              </w:rPr>
            </w:pPr>
            <w:r w:rsidRPr="00DA311C">
              <w:rPr>
                <w:b/>
                <w:i/>
              </w:rPr>
              <w:t>18,5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i/>
              </w:rPr>
            </w:pPr>
            <w:r w:rsidRPr="00DA311C">
              <w:rPr>
                <w:i/>
              </w:rPr>
              <w:t>Сальдо торговельного балансу</w:t>
            </w:r>
          </w:p>
          <w:p w:rsidR="002D2289" w:rsidRPr="00DA311C" w:rsidRDefault="002D2289" w:rsidP="001021CE">
            <w:pPr>
              <w:rPr>
                <w:i/>
              </w:rPr>
            </w:pP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</w:pPr>
            <w:r w:rsidRPr="00DA311C">
              <w:t xml:space="preserve">млн. </w:t>
            </w:r>
            <w:proofErr w:type="spellStart"/>
            <w:r w:rsidRPr="00DA311C">
              <w:t>дол</w:t>
            </w:r>
            <w:proofErr w:type="spellEnd"/>
            <w:r w:rsidRPr="00DA311C">
              <w:t>. США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-5,3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Cs/>
                <w:i/>
              </w:rPr>
            </w:pPr>
            <w:r w:rsidRPr="00DA311C">
              <w:rPr>
                <w:bCs/>
                <w:i/>
              </w:rPr>
              <w:t>-112,4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bCs/>
                <w:i/>
              </w:rPr>
            </w:pPr>
            <w:r w:rsidRPr="00DA311C">
              <w:rPr>
                <w:bCs/>
                <w:i/>
              </w:rPr>
              <w:t>-110,0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bCs/>
                <w:i/>
              </w:rPr>
            </w:pPr>
            <w:r w:rsidRPr="00DA311C">
              <w:rPr>
                <w:bCs/>
                <w:i/>
              </w:rPr>
              <w:t>-115,0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bCs/>
                <w:i/>
              </w:rPr>
            </w:pPr>
            <w:r w:rsidRPr="00DA311C">
              <w:rPr>
                <w:bCs/>
                <w:i/>
              </w:rPr>
              <w:t>-120,0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-125,0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b/>
              </w:rPr>
            </w:pPr>
            <w:r w:rsidRPr="00DA311C">
              <w:rPr>
                <w:b/>
              </w:rPr>
              <w:t>Показники рівня життя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b/>
              </w:rPr>
            </w:pP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</w:pP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r w:rsidRPr="00DA311C">
              <w:lastRenderedPageBreak/>
              <w:t>Чисельність наявного населення  Сумської міської ради станом на 1 січня року наступного за звітним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</w:pPr>
            <w:r w:rsidRPr="00DA311C">
              <w:t>тис. осіб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267,3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spacing w:after="120"/>
              <w:jc w:val="right"/>
            </w:pPr>
            <w:r w:rsidRPr="00DA311C">
              <w:t>266,3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spacing w:after="120"/>
              <w:jc w:val="right"/>
            </w:pPr>
            <w:r w:rsidRPr="00DA311C">
              <w:t>264,5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spacing w:after="120"/>
              <w:jc w:val="right"/>
            </w:pPr>
            <w:r w:rsidRPr="00DA311C">
              <w:t>263,5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spacing w:after="120"/>
              <w:jc w:val="right"/>
            </w:pPr>
            <w:r w:rsidRPr="00DA311C">
              <w:t>262,5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spacing w:after="120"/>
              <w:jc w:val="right"/>
            </w:pPr>
            <w:r w:rsidRPr="00DA311C">
              <w:t>261,5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r w:rsidRPr="00DA311C">
              <w:t xml:space="preserve">Середній розмір заробітної плати штатних працівників підприємств, установ, організацій (по юридичних особах та відокремлених підрозділах юридичних осіб із кількістю найманих працівників 10 і більше осіб) 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shd w:val="clear" w:color="auto" w:fill="FFFFFF"/>
              <w:jc w:val="center"/>
            </w:pPr>
            <w:r w:rsidRPr="00DA311C">
              <w:t>грн.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6522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jc w:val="right"/>
            </w:pPr>
            <w:r w:rsidRPr="00DA311C">
              <w:t>8086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jc w:val="right"/>
            </w:pPr>
            <w:r w:rsidRPr="00DA311C">
              <w:t>9550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jc w:val="right"/>
            </w:pPr>
            <w:r w:rsidRPr="00DA311C">
              <w:t>11100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jc w:val="right"/>
            </w:pPr>
            <w:r w:rsidRPr="00DA311C">
              <w:t>12475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jc w:val="right"/>
            </w:pPr>
            <w:r w:rsidRPr="00DA311C">
              <w:t>14050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i/>
              </w:rPr>
            </w:pPr>
            <w:r w:rsidRPr="00DA311C">
              <w:rPr>
                <w:i/>
              </w:rPr>
              <w:t>(у % до попереднього року)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shd w:val="clear" w:color="auto" w:fill="FFFFFF"/>
              <w:jc w:val="center"/>
              <w:rPr>
                <w:i/>
                <w:iCs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spacing w:line="228" w:lineRule="auto"/>
              <w:jc w:val="right"/>
              <w:rPr>
                <w:i/>
              </w:rPr>
            </w:pPr>
            <w:r w:rsidRPr="00DA311C">
              <w:rPr>
                <w:i/>
              </w:rPr>
              <w:t>143,3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widowControl w:val="0"/>
              <w:jc w:val="right"/>
              <w:rPr>
                <w:i/>
              </w:rPr>
            </w:pPr>
            <w:r w:rsidRPr="00DA311C">
              <w:rPr>
                <w:i/>
              </w:rPr>
              <w:t>124,0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widowControl w:val="0"/>
              <w:jc w:val="right"/>
              <w:rPr>
                <w:i/>
              </w:rPr>
            </w:pPr>
            <w:r w:rsidRPr="00DA311C">
              <w:rPr>
                <w:i/>
              </w:rPr>
              <w:t>118,1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widowControl w:val="0"/>
              <w:jc w:val="right"/>
              <w:rPr>
                <w:i/>
              </w:rPr>
            </w:pPr>
            <w:r w:rsidRPr="00DA311C">
              <w:rPr>
                <w:i/>
              </w:rPr>
              <w:t>116,2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widowControl w:val="0"/>
              <w:jc w:val="right"/>
              <w:rPr>
                <w:i/>
              </w:rPr>
            </w:pPr>
            <w:r w:rsidRPr="00DA311C">
              <w:rPr>
                <w:i/>
              </w:rPr>
              <w:t>112,4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widowControl w:val="0"/>
              <w:jc w:val="right"/>
              <w:rPr>
                <w:i/>
              </w:rPr>
            </w:pPr>
            <w:r w:rsidRPr="00DA311C">
              <w:rPr>
                <w:i/>
              </w:rPr>
              <w:t>112,6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r w:rsidRPr="00DA311C">
              <w:t>Фонд оплати праці штатних працівників підприємств, установ, організацій (по юридичних особах та відокремлених підрозділах юридичних осіб із кількістю найманих працівників 10 і більше осіб)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</w:pPr>
            <w:r w:rsidRPr="00DA311C">
              <w:t>млн. грн.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6249,1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jc w:val="right"/>
            </w:pPr>
            <w:r w:rsidRPr="00DA311C">
              <w:t>7745,0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widowControl w:val="0"/>
              <w:jc w:val="right"/>
            </w:pPr>
            <w:r w:rsidRPr="00DA311C">
              <w:t>8286,0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widowControl w:val="0"/>
              <w:jc w:val="right"/>
            </w:pPr>
            <w:r w:rsidRPr="00DA311C">
              <w:t>9630,0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widowControl w:val="0"/>
              <w:jc w:val="right"/>
            </w:pPr>
            <w:r w:rsidRPr="00DA311C">
              <w:t>10823,0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widowControl w:val="0"/>
              <w:jc w:val="right"/>
            </w:pPr>
            <w:r w:rsidRPr="00DA311C">
              <w:t>12190,0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i/>
              </w:rPr>
            </w:pPr>
            <w:r w:rsidRPr="00DA311C">
              <w:rPr>
                <w:i/>
              </w:rPr>
              <w:t>(у % до попереднього року)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shd w:val="clear" w:color="auto" w:fill="FFFFFF"/>
              <w:jc w:val="center"/>
              <w:rPr>
                <w:i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spacing w:line="228" w:lineRule="auto"/>
              <w:jc w:val="right"/>
              <w:rPr>
                <w:i/>
              </w:rPr>
            </w:pPr>
            <w:r w:rsidRPr="00DA311C">
              <w:rPr>
                <w:i/>
              </w:rPr>
              <w:t>136,7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spacing w:line="228" w:lineRule="auto"/>
              <w:jc w:val="right"/>
              <w:rPr>
                <w:i/>
              </w:rPr>
            </w:pPr>
            <w:r w:rsidRPr="00DA311C">
              <w:rPr>
                <w:i/>
              </w:rPr>
              <w:t>123,9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spacing w:line="228" w:lineRule="auto"/>
              <w:jc w:val="right"/>
              <w:rPr>
                <w:i/>
              </w:rPr>
            </w:pPr>
            <w:r w:rsidRPr="00DA311C">
              <w:rPr>
                <w:i/>
              </w:rPr>
              <w:t>107,0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spacing w:line="228" w:lineRule="auto"/>
              <w:jc w:val="right"/>
              <w:rPr>
                <w:i/>
              </w:rPr>
            </w:pPr>
            <w:r w:rsidRPr="00DA311C">
              <w:rPr>
                <w:i/>
              </w:rPr>
              <w:t>116,2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spacing w:line="228" w:lineRule="auto"/>
              <w:jc w:val="right"/>
              <w:rPr>
                <w:i/>
              </w:rPr>
            </w:pPr>
            <w:r w:rsidRPr="00DA311C">
              <w:rPr>
                <w:i/>
              </w:rPr>
              <w:t>112,4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spacing w:line="228" w:lineRule="auto"/>
              <w:jc w:val="right"/>
              <w:rPr>
                <w:i/>
              </w:rPr>
            </w:pPr>
            <w:r w:rsidRPr="00DA311C">
              <w:rPr>
                <w:i/>
              </w:rPr>
              <w:t>112,6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r w:rsidRPr="00DA311C">
              <w:t>Середньооблікова кількість штатних працівників підприємств, установ, організацій (по юридичних особах та відокремлених підрозділах юридичних осіб із кількістю найманих працівників 10 і більше осіб)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shd w:val="clear" w:color="auto" w:fill="FFFFFF"/>
              <w:jc w:val="center"/>
              <w:rPr>
                <w:iCs/>
              </w:rPr>
            </w:pPr>
            <w:r w:rsidRPr="00DA311C">
              <w:t>тис. осіб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79,9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80,4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widowControl w:val="0"/>
              <w:jc w:val="right"/>
            </w:pPr>
            <w:r w:rsidRPr="00DA311C">
              <w:t>72,3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widowControl w:val="0"/>
              <w:jc w:val="right"/>
            </w:pPr>
            <w:r w:rsidRPr="00DA311C">
              <w:t>72,3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72,3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72,3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i/>
              </w:rPr>
            </w:pPr>
            <w:r w:rsidRPr="00DA311C">
              <w:rPr>
                <w:i/>
              </w:rPr>
              <w:t>(у % до попереднього року)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shd w:val="clear" w:color="auto" w:fill="FFFFFF"/>
              <w:jc w:val="center"/>
              <w:rPr>
                <w:i/>
                <w:iCs/>
              </w:rPr>
            </w:pP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jc w:val="right"/>
              <w:rPr>
                <w:i/>
              </w:rPr>
            </w:pPr>
            <w:r w:rsidRPr="00DA311C">
              <w:rPr>
                <w:i/>
              </w:rPr>
              <w:t>95,5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jc w:val="right"/>
              <w:rPr>
                <w:i/>
              </w:rPr>
            </w:pPr>
            <w:r w:rsidRPr="00DA311C">
              <w:rPr>
                <w:i/>
              </w:rPr>
              <w:t>100,6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jc w:val="right"/>
              <w:rPr>
                <w:i/>
              </w:rPr>
            </w:pPr>
            <w:r w:rsidRPr="00DA311C">
              <w:rPr>
                <w:i/>
              </w:rPr>
              <w:t>89,9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100,0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100,0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jc w:val="right"/>
              <w:rPr>
                <w:i/>
              </w:rPr>
            </w:pPr>
            <w:r w:rsidRPr="00DA311C">
              <w:rPr>
                <w:i/>
              </w:rPr>
              <w:t>100,0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r w:rsidRPr="00DA311C">
              <w:t>Кількість зареєстрованих безробітних (на кінець року)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shd w:val="clear" w:color="auto" w:fill="FFFFFF"/>
              <w:jc w:val="center"/>
            </w:pPr>
            <w:r w:rsidRPr="00DA311C">
              <w:rPr>
                <w:iCs/>
              </w:rPr>
              <w:t>осіб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jc w:val="right"/>
            </w:pPr>
            <w:r w:rsidRPr="00DA311C">
              <w:t>2123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widowControl w:val="0"/>
              <w:jc w:val="right"/>
            </w:pPr>
            <w:r w:rsidRPr="00DA311C">
              <w:t>2601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jc w:val="right"/>
            </w:pPr>
            <w:r w:rsidRPr="00DA311C">
              <w:t>2200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jc w:val="right"/>
            </w:pPr>
            <w:r w:rsidRPr="00DA311C">
              <w:t>2150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jc w:val="right"/>
            </w:pPr>
            <w:r w:rsidRPr="00DA311C">
              <w:t>2150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shd w:val="clear" w:color="auto" w:fill="FFFFFF"/>
              <w:jc w:val="right"/>
            </w:pPr>
            <w:r w:rsidRPr="00DA311C">
              <w:t>2150</w:t>
            </w:r>
          </w:p>
        </w:tc>
      </w:tr>
      <w:tr w:rsidR="002D2289" w:rsidRPr="00DA311C" w:rsidTr="001021CE">
        <w:trPr>
          <w:trHeight w:val="302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b/>
              </w:rPr>
            </w:pPr>
            <w:r w:rsidRPr="00DA311C">
              <w:rPr>
                <w:b/>
              </w:rPr>
              <w:t>Споживчий ринок</w:t>
            </w:r>
          </w:p>
        </w:tc>
        <w:tc>
          <w:tcPr>
            <w:tcW w:w="376" w:type="pct"/>
          </w:tcPr>
          <w:p w:rsidR="002D2289" w:rsidRPr="00DA311C" w:rsidRDefault="002D2289" w:rsidP="001021CE"/>
        </w:tc>
        <w:tc>
          <w:tcPr>
            <w:tcW w:w="413" w:type="pct"/>
          </w:tcPr>
          <w:p w:rsidR="002D2289" w:rsidRPr="00DA311C" w:rsidRDefault="002D2289" w:rsidP="001021CE"/>
        </w:tc>
        <w:tc>
          <w:tcPr>
            <w:tcW w:w="413" w:type="pct"/>
          </w:tcPr>
          <w:p w:rsidR="002D2289" w:rsidRPr="00DA311C" w:rsidRDefault="002D2289" w:rsidP="001021CE"/>
        </w:tc>
        <w:tc>
          <w:tcPr>
            <w:tcW w:w="487" w:type="pct"/>
          </w:tcPr>
          <w:p w:rsidR="002D2289" w:rsidRPr="00DA311C" w:rsidRDefault="002D2289" w:rsidP="001021CE"/>
        </w:tc>
        <w:tc>
          <w:tcPr>
            <w:tcW w:w="372" w:type="pct"/>
          </w:tcPr>
          <w:p w:rsidR="002D2289" w:rsidRPr="00DA311C" w:rsidRDefault="002D2289" w:rsidP="001021CE"/>
        </w:tc>
        <w:tc>
          <w:tcPr>
            <w:tcW w:w="373" w:type="pct"/>
          </w:tcPr>
          <w:p w:rsidR="002D2289" w:rsidRPr="00DA311C" w:rsidRDefault="002D2289" w:rsidP="001021CE"/>
        </w:tc>
        <w:tc>
          <w:tcPr>
            <w:tcW w:w="371" w:type="pct"/>
          </w:tcPr>
          <w:p w:rsidR="002D2289" w:rsidRPr="00DA311C" w:rsidRDefault="002D2289" w:rsidP="001021CE"/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r w:rsidRPr="00DA311C">
              <w:t xml:space="preserve">Обсяги роздрібного товарообороту підприємств роздрібної торгівлі (юридичних осіб) 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</w:pPr>
            <w:r w:rsidRPr="00DA311C">
              <w:t>млн. грн.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5373,0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6429,4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 xml:space="preserve">7200,0 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7850,0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8500,0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9200,0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pPr>
              <w:rPr>
                <w:i/>
              </w:rPr>
            </w:pPr>
            <w:r w:rsidRPr="00DA311C">
              <w:rPr>
                <w:i/>
              </w:rPr>
              <w:t>(у % до попереднього року)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  <w:rPr>
                <w:i/>
              </w:rPr>
            </w:pPr>
            <w:r w:rsidRPr="00DA311C">
              <w:rPr>
                <w:i/>
              </w:rPr>
              <w:t>%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106,5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119,7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112,0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109,0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108,3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  <w:rPr>
                <w:i/>
              </w:rPr>
            </w:pPr>
            <w:r w:rsidRPr="00DA311C">
              <w:rPr>
                <w:i/>
              </w:rPr>
              <w:t>108,2</w:t>
            </w:r>
          </w:p>
        </w:tc>
      </w:tr>
      <w:tr w:rsidR="002D2289" w:rsidRPr="00DA311C" w:rsidTr="001021CE">
        <w:trPr>
          <w:trHeight w:val="20"/>
          <w:jc w:val="center"/>
        </w:trPr>
        <w:tc>
          <w:tcPr>
            <w:tcW w:w="2195" w:type="pct"/>
            <w:shd w:val="clear" w:color="auto" w:fill="auto"/>
          </w:tcPr>
          <w:p w:rsidR="002D2289" w:rsidRPr="00DA311C" w:rsidRDefault="002D2289" w:rsidP="001021CE">
            <w:r w:rsidRPr="00DA311C">
              <w:t>Роздрібний товарооборот підприємств роздрібної торгівлі (юридичних осіб) на 1 особу</w:t>
            </w:r>
          </w:p>
        </w:tc>
        <w:tc>
          <w:tcPr>
            <w:tcW w:w="376" w:type="pct"/>
          </w:tcPr>
          <w:p w:rsidR="002D2289" w:rsidRPr="00DA311C" w:rsidRDefault="002D2289" w:rsidP="001021CE">
            <w:pPr>
              <w:jc w:val="center"/>
            </w:pPr>
            <w:r w:rsidRPr="00DA311C">
              <w:t>тис. грн.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20,1</w:t>
            </w:r>
          </w:p>
        </w:tc>
        <w:tc>
          <w:tcPr>
            <w:tcW w:w="413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24,1</w:t>
            </w:r>
          </w:p>
        </w:tc>
        <w:tc>
          <w:tcPr>
            <w:tcW w:w="487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27,2</w:t>
            </w:r>
          </w:p>
        </w:tc>
        <w:tc>
          <w:tcPr>
            <w:tcW w:w="372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29,8</w:t>
            </w:r>
          </w:p>
        </w:tc>
        <w:tc>
          <w:tcPr>
            <w:tcW w:w="373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32,4</w:t>
            </w:r>
          </w:p>
        </w:tc>
        <w:tc>
          <w:tcPr>
            <w:tcW w:w="371" w:type="pct"/>
            <w:vAlign w:val="center"/>
          </w:tcPr>
          <w:p w:rsidR="002D2289" w:rsidRPr="00DA311C" w:rsidRDefault="002D2289" w:rsidP="001021CE">
            <w:pPr>
              <w:jc w:val="right"/>
            </w:pPr>
            <w:r w:rsidRPr="00DA311C">
              <w:t>35,2</w:t>
            </w:r>
          </w:p>
        </w:tc>
      </w:tr>
    </w:tbl>
    <w:p w:rsidR="00477635" w:rsidRDefault="002D2289">
      <w:bookmarkStart w:id="0" w:name="_GoBack"/>
      <w:bookmarkEnd w:id="0"/>
    </w:p>
    <w:sectPr w:rsidR="00477635" w:rsidSect="002D22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B0"/>
    <w:rsid w:val="000F67B8"/>
    <w:rsid w:val="002D2289"/>
    <w:rsid w:val="009060A6"/>
    <w:rsid w:val="00A2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F44F7-50D9-44C8-B71C-FA5E05E9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1"/>
    <w:qFormat/>
    <w:rsid w:val="002D2289"/>
    <w:pPr>
      <w:jc w:val="center"/>
    </w:pPr>
    <w:rPr>
      <w:sz w:val="28"/>
    </w:rPr>
  </w:style>
  <w:style w:type="character" w:customStyle="1" w:styleId="1">
    <w:name w:val="Название Знак1"/>
    <w:link w:val="a3"/>
    <w:rsid w:val="002D228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Title"/>
    <w:basedOn w:val="a"/>
    <w:next w:val="a"/>
    <w:link w:val="a5"/>
    <w:uiPriority w:val="10"/>
    <w:qFormat/>
    <w:rsid w:val="002D228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2D228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 Олексій Володимирович</dc:creator>
  <cp:keywords/>
  <dc:description/>
  <cp:lastModifiedBy>Беспалов Олексій Володимирович</cp:lastModifiedBy>
  <cp:revision>2</cp:revision>
  <dcterms:created xsi:type="dcterms:W3CDTF">2020-05-07T12:07:00Z</dcterms:created>
  <dcterms:modified xsi:type="dcterms:W3CDTF">2020-05-07T12:08:00Z</dcterms:modified>
</cp:coreProperties>
</file>